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38A1C" w14:textId="52270C01" w:rsidR="00211EF2" w:rsidRPr="0076660D" w:rsidRDefault="00211EF2" w:rsidP="00AD2833">
      <w:pPr>
        <w:pStyle w:val="Header"/>
        <w:tabs>
          <w:tab w:val="clear" w:pos="4153"/>
          <w:tab w:val="clear" w:pos="8306"/>
          <w:tab w:val="left" w:pos="14317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#102-e</w:t>
      </w:r>
      <w:r>
        <w:rPr>
          <w:b/>
          <w:sz w:val="24"/>
        </w:rPr>
        <w:tab/>
      </w:r>
      <w:r w:rsidRPr="00101E9D">
        <w:rPr>
          <w:b/>
          <w:sz w:val="24"/>
        </w:rPr>
        <w:t>R1-</w:t>
      </w:r>
      <w:r>
        <w:rPr>
          <w:b/>
          <w:sz w:val="24"/>
        </w:rPr>
        <w:t>20</w:t>
      </w:r>
      <w:r w:rsidR="00D67D29">
        <w:rPr>
          <w:b/>
          <w:sz w:val="24"/>
        </w:rPr>
        <w:t>06003</w:t>
      </w:r>
    </w:p>
    <w:p w14:paraId="5AE64FA7" w14:textId="77777777" w:rsidR="00211EF2" w:rsidRPr="00BC0557" w:rsidRDefault="00211EF2" w:rsidP="00AD2833">
      <w:pPr>
        <w:pStyle w:val="Header"/>
        <w:rPr>
          <w:b/>
          <w:sz w:val="24"/>
        </w:rPr>
      </w:pPr>
      <w:r>
        <w:rPr>
          <w:b/>
          <w:sz w:val="24"/>
        </w:rPr>
        <w:t>e-Meeting, August 17 – 28, 2020</w:t>
      </w:r>
    </w:p>
    <w:bookmarkEnd w:id="0"/>
    <w:p w14:paraId="4E703723" w14:textId="77777777" w:rsidR="00B27109" w:rsidRDefault="00B27109" w:rsidP="00AD2833"/>
    <w:p w14:paraId="420026A9" w14:textId="2351AF9E" w:rsidR="00B27109" w:rsidRPr="00942652" w:rsidRDefault="00B27109" w:rsidP="00AD2833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="00177749">
        <w:t>7.2.11</w:t>
      </w:r>
    </w:p>
    <w:p w14:paraId="06A83340" w14:textId="71A2C22A" w:rsidR="00BC0557" w:rsidRPr="00B47A8B" w:rsidRDefault="00BC0557" w:rsidP="00AD2833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211EF2" w:rsidRPr="00211EF2">
        <w:t xml:space="preserve">Discussion on remaining issues of </w:t>
      </w:r>
      <w:r w:rsidR="00177749">
        <w:t>NR</w:t>
      </w:r>
      <w:r w:rsidR="00211EF2" w:rsidRPr="00211EF2">
        <w:t xml:space="preserve"> feature list for 5G_V2X_NRSL</w:t>
      </w:r>
    </w:p>
    <w:p w14:paraId="7DC2E3DB" w14:textId="238BBDA2" w:rsidR="00BC0557" w:rsidRPr="00B47A8B" w:rsidRDefault="00BC0557" w:rsidP="00AD2833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AD2833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AD2833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AD2833">
      <w:pPr>
        <w:rPr>
          <w:color w:val="000000" w:themeColor="text1"/>
        </w:rPr>
      </w:pPr>
    </w:p>
    <w:p w14:paraId="770EF4D8" w14:textId="77777777" w:rsidR="00BC0557" w:rsidRPr="00B47A8B" w:rsidRDefault="00BC0557" w:rsidP="00AD2833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48150E4B" w14:textId="6EED558E" w:rsidR="00392997" w:rsidRDefault="00392997" w:rsidP="00AD2833">
      <w:pPr>
        <w:pStyle w:val="BodyText"/>
        <w:spacing w:after="120"/>
        <w:rPr>
          <w:color w:val="auto"/>
          <w:sz w:val="20"/>
        </w:rPr>
      </w:pPr>
      <w:r>
        <w:rPr>
          <w:color w:val="auto"/>
          <w:sz w:val="20"/>
        </w:rPr>
        <w:t xml:space="preserve">Based on the latest RAN1 email discussion outcomes/agreements for NR V2X UE feature list, </w:t>
      </w:r>
      <w:r w:rsidRPr="00392997">
        <w:rPr>
          <w:color w:val="auto"/>
          <w:sz w:val="20"/>
        </w:rPr>
        <w:t>[101-e-Post-NR-UE-Features-09]</w:t>
      </w:r>
      <w:r>
        <w:rPr>
          <w:color w:val="auto"/>
          <w:sz w:val="20"/>
        </w:rPr>
        <w:t>, the followings are still the remaining open issues:</w:t>
      </w:r>
    </w:p>
    <w:p w14:paraId="258A0B93" w14:textId="36D53F6A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15-2, components (9), Notes column</w:t>
      </w:r>
    </w:p>
    <w:p w14:paraId="3BEAD1EE" w14:textId="2DEE8CD7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15-2 whether to mandate an SCS</w:t>
      </w:r>
    </w:p>
    <w:p w14:paraId="3A8474E6" w14:textId="339DEAF3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15-6, components (2) incl. consequence if the feature is not supported by the UE</w:t>
      </w:r>
    </w:p>
    <w:p w14:paraId="06856271" w14:textId="4C4B33C2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15-11 for “Need for the eNB to know if the feature is supported”</w:t>
      </w:r>
    </w:p>
    <w:p w14:paraId="461E3615" w14:textId="7C0D7E40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15-11 for “Applicable to the capability signalling exchange between UEs”</w:t>
      </w:r>
    </w:p>
    <w:p w14:paraId="100DA3D7" w14:textId="2CB16938" w:rsidR="00392997" w:rsidRPr="0038413D" w:rsidRDefault="00392997" w:rsidP="00AD2833">
      <w:pPr>
        <w:numPr>
          <w:ilvl w:val="0"/>
          <w:numId w:val="41"/>
        </w:numPr>
        <w:ind w:left="851"/>
        <w:rPr>
          <w:rFonts w:ascii="Calibri" w:hAnsi="Calibri" w:cs="Calibri"/>
          <w:lang w:eastAsia="ja-JP"/>
        </w:rPr>
      </w:pPr>
      <w:r w:rsidRPr="0038413D">
        <w:rPr>
          <w:rFonts w:ascii="Calibri" w:hAnsi="Calibri" w:cs="Calibri"/>
          <w:lang w:eastAsia="ja-JP"/>
        </w:rPr>
        <w:t>FFS in FG 15-18 for “Applicable to the capability signalling exchange between UEs”</w:t>
      </w:r>
    </w:p>
    <w:p w14:paraId="0109469F" w14:textId="149D94DF" w:rsidR="00B573CF" w:rsidRPr="00192047" w:rsidRDefault="00392997" w:rsidP="00AD2833">
      <w:pPr>
        <w:pStyle w:val="BodyText"/>
        <w:spacing w:before="120" w:after="360"/>
        <w:rPr>
          <w:color w:val="auto"/>
          <w:sz w:val="20"/>
        </w:rPr>
      </w:pPr>
      <w:r>
        <w:rPr>
          <w:color w:val="auto"/>
          <w:sz w:val="20"/>
        </w:rPr>
        <w:t>In this contribution, we provide our views on these remaining open issues.</w:t>
      </w:r>
    </w:p>
    <w:p w14:paraId="24124463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1755CED3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6F86A0B9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554ECFA3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1CC88663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2B26C0F4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0D8E72C9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2FBC5E41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76F56BC1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1DF1D56A" w14:textId="77777777" w:rsidR="00550E51" w:rsidRDefault="00550E51" w:rsidP="00AD2833">
      <w:pPr>
        <w:spacing w:after="120"/>
        <w:rPr>
          <w:b/>
          <w:sz w:val="20"/>
          <w:szCs w:val="20"/>
        </w:rPr>
      </w:pPr>
    </w:p>
    <w:p w14:paraId="2DDFB004" w14:textId="4033CAA4" w:rsidR="00BC0557" w:rsidRDefault="00BC0557" w:rsidP="00AD2833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lastRenderedPageBreak/>
        <w:t xml:space="preserve">2. </w:t>
      </w:r>
      <w:r w:rsidR="007E3686">
        <w:rPr>
          <w:b/>
          <w:sz w:val="20"/>
          <w:szCs w:val="20"/>
        </w:rPr>
        <w:t>Discussions</w:t>
      </w:r>
    </w:p>
    <w:p w14:paraId="41993991" w14:textId="51E34DED" w:rsidR="00AD2833" w:rsidRPr="00AD2833" w:rsidRDefault="00AD2833" w:rsidP="00AD2833">
      <w:pPr>
        <w:pStyle w:val="maintext"/>
        <w:ind w:firstLineChars="0" w:firstLine="0"/>
        <w:rPr>
          <w:rFonts w:ascii="Calibri" w:hAnsi="Calibri" w:cs="Calibri"/>
          <w:color w:val="000000"/>
          <w:sz w:val="24"/>
          <w:szCs w:val="24"/>
        </w:rPr>
      </w:pPr>
      <w:r w:rsidRPr="00AD2833"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FG 15-</w:t>
      </w:r>
      <w:r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1723"/>
        <w:gridCol w:w="4786"/>
        <w:gridCol w:w="222"/>
        <w:gridCol w:w="527"/>
        <w:gridCol w:w="447"/>
        <w:gridCol w:w="222"/>
        <w:gridCol w:w="668"/>
        <w:gridCol w:w="567"/>
        <w:gridCol w:w="567"/>
        <w:gridCol w:w="567"/>
        <w:gridCol w:w="2547"/>
        <w:gridCol w:w="2389"/>
      </w:tblGrid>
      <w:tr w:rsidR="00392997" w:rsidRPr="00EE7BAB" w14:paraId="4565CF39" w14:textId="77777777" w:rsidTr="0003040F">
        <w:tc>
          <w:tcPr>
            <w:tcW w:w="0" w:type="auto"/>
            <w:shd w:val="clear" w:color="auto" w:fill="auto"/>
          </w:tcPr>
          <w:p w14:paraId="1217E0B0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15-2</w:t>
            </w:r>
          </w:p>
        </w:tc>
        <w:tc>
          <w:tcPr>
            <w:tcW w:w="0" w:type="auto"/>
            <w:shd w:val="clear" w:color="auto" w:fill="auto"/>
          </w:tcPr>
          <w:p w14:paraId="39138971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Transmitting NR sidelink mode 1 scheduled by NR Uu</w:t>
            </w:r>
          </w:p>
        </w:tc>
        <w:tc>
          <w:tcPr>
            <w:tcW w:w="0" w:type="auto"/>
            <w:shd w:val="clear" w:color="auto" w:fill="auto"/>
          </w:tcPr>
          <w:p w14:paraId="3D8C9529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1) UE can transmit PSCCH/PSSCH using dynamic scheduling or configured grant type 1 and 2 in NR sidelink mode 1 scheduled by NR Uu. Up to 8 configured grants can be configured for a UE. Up to C sidelink HARQ processes are supported including those for configured grants</w:t>
            </w:r>
          </w:p>
          <w:p w14:paraId="554308F4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2) UE can transmit PSSCH according to the normal 64QAM MCS OFDM table.</w:t>
            </w:r>
          </w:p>
          <w:p w14:paraId="07BB684A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3) UE supports PT-RS transmission in FR2.</w:t>
            </w:r>
          </w:p>
          <w:p w14:paraId="3B9C84B9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4) UE can monitor DCI format 3_0 for NR sidelink dynamic scheduling and configured grant type 2.</w:t>
            </w:r>
          </w:p>
          <w:p w14:paraId="7E9C7CA1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6) UE can transmit using the subcarrier spacing and CP length it reports.</w:t>
            </w:r>
          </w:p>
          <w:p w14:paraId="54661B02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 xml:space="preserve">8) Supports 14-symbol SL slot with </w:t>
            </w:r>
            <w:r w:rsidRPr="00D317EC">
              <w:rPr>
                <w:rFonts w:eastAsia="Malgun Gothic"/>
                <w:color w:val="000000"/>
                <w:lang w:eastAsia="ko-KR"/>
              </w:rPr>
              <w:t xml:space="preserve">all </w:t>
            </w:r>
            <w:r w:rsidRPr="00D317EC">
              <w:rPr>
                <w:color w:val="000000"/>
              </w:rPr>
              <w:t xml:space="preserve">DMRS patterns corresponding to {#PSSCH symbols} = {12, 9} for slots w/wo PSFCH. </w:t>
            </w:r>
            <w:r w:rsidRPr="00D317EC">
              <w:rPr>
                <w:rFonts w:eastAsia="Malgun Gothic" w:cs="Arial"/>
                <w:color w:val="000000"/>
                <w:lang w:eastAsia="ko-KR"/>
              </w:rPr>
              <w:t xml:space="preserve">If UE signals support of ECP, support 12-symbol SL slot with all DMRS patterns corresponding to </w:t>
            </w:r>
            <w:r w:rsidRPr="00D317EC">
              <w:rPr>
                <w:rFonts w:eastAsia="Malgun Gothic" w:cs="Arial"/>
                <w:strike/>
                <w:color w:val="000000"/>
                <w:lang w:eastAsia="ko-KR"/>
              </w:rPr>
              <w:t>{</w:t>
            </w:r>
            <w:r w:rsidRPr="00D317EC">
              <w:rPr>
                <w:rFonts w:eastAsia="Malgun Gothic" w:cs="Arial"/>
                <w:color w:val="000000"/>
                <w:lang w:eastAsia="ko-KR"/>
              </w:rPr>
              <w:t>#PSSCH symbols} = {10,7} for slots w/wo PSFCH.</w:t>
            </w:r>
          </w:p>
          <w:p w14:paraId="6C26F291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9) Support downlink pathloss based open loop power control</w:t>
            </w:r>
          </w:p>
          <w:p w14:paraId="2D349286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11) UE can report sidelink HARQ-ACK to gNB via PUCCH and PUSCH when it is operating in NR sidelink mode 1</w:t>
            </w:r>
          </w:p>
        </w:tc>
        <w:tc>
          <w:tcPr>
            <w:tcW w:w="0" w:type="auto"/>
            <w:shd w:val="clear" w:color="auto" w:fill="auto"/>
          </w:tcPr>
          <w:p w14:paraId="54E5DD3E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11658711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EFB4E18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EFF465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557F7BF7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Per band</w:t>
            </w:r>
          </w:p>
          <w:p w14:paraId="16C39231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7CC2502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DB4BB4F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98289A9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710A501" w14:textId="4345523D" w:rsidR="00392997" w:rsidRPr="00D317EC" w:rsidRDefault="00AD2833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…</w:t>
            </w:r>
          </w:p>
          <w:p w14:paraId="4496DC4C" w14:textId="77777777" w:rsidR="00392997" w:rsidRPr="00D317EC" w:rsidRDefault="00392997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6A8E2DA4" w14:textId="77777777" w:rsidR="00392997" w:rsidRPr="00D317EC" w:rsidRDefault="00392997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D317EC">
              <w:rPr>
                <w:rFonts w:eastAsia="SimSun"/>
                <w:color w:val="000000"/>
                <w:highlight w:val="yellow"/>
                <w:lang w:eastAsia="zh-CN"/>
              </w:rPr>
              <w:t>FFS: Component (9) is not required to be supported in a band indicated with only the PC5 interface in 38.101-1 Table 5.2E-1</w:t>
            </w:r>
          </w:p>
          <w:p w14:paraId="6B79EB34" w14:textId="77777777" w:rsidR="00392997" w:rsidRPr="00D317EC" w:rsidRDefault="00392997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3F41290B" w14:textId="34292F07" w:rsidR="00392997" w:rsidRPr="00D317EC" w:rsidRDefault="00AD2833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…</w:t>
            </w:r>
          </w:p>
          <w:p w14:paraId="41D06E47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  <w:p w14:paraId="7423671E" w14:textId="77777777" w:rsidR="00392997" w:rsidRPr="00D317EC" w:rsidRDefault="00392997" w:rsidP="00AD2833">
            <w:pPr>
              <w:pStyle w:val="TAL"/>
              <w:rPr>
                <w:color w:val="000000"/>
                <w:highlight w:val="yellow"/>
              </w:rPr>
            </w:pPr>
            <w:r w:rsidRPr="00D317EC">
              <w:rPr>
                <w:color w:val="000000"/>
                <w:highlight w:val="yellow"/>
              </w:rPr>
              <w:t>FFS: whether to mandate an SCS.</w:t>
            </w:r>
          </w:p>
        </w:tc>
        <w:tc>
          <w:tcPr>
            <w:tcW w:w="0" w:type="auto"/>
            <w:shd w:val="clear" w:color="auto" w:fill="auto"/>
          </w:tcPr>
          <w:p w14:paraId="0D37D520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Optional with capability signalling</w:t>
            </w:r>
          </w:p>
          <w:p w14:paraId="31F7DD68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FFS: For UE supports NR sidelink in licensed spectrum where gNB is defined, UE must indicate this FG is supported.</w:t>
            </w:r>
          </w:p>
          <w:p w14:paraId="0CF59BC7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</w:tc>
      </w:tr>
    </w:tbl>
    <w:p w14:paraId="63D4AFE8" w14:textId="2A45D657" w:rsidR="0038413D" w:rsidRDefault="0038413D" w:rsidP="00AD2833">
      <w:pPr>
        <w:pStyle w:val="maintext"/>
        <w:ind w:firstLineChars="0" w:firstLine="0"/>
        <w:rPr>
          <w:rFonts w:ascii="Arial" w:hAnsi="Arial" w:cs="Arial"/>
          <w:color w:val="000000"/>
          <w:sz w:val="21"/>
          <w:szCs w:val="21"/>
        </w:rPr>
      </w:pPr>
      <w:r w:rsidRPr="0038413D">
        <w:rPr>
          <w:rFonts w:ascii="Arial" w:hAnsi="Arial" w:cs="Arial"/>
          <w:color w:val="000000"/>
          <w:sz w:val="21"/>
          <w:szCs w:val="21"/>
        </w:rPr>
        <w:t>Re</w:t>
      </w:r>
      <w:r>
        <w:rPr>
          <w:rFonts w:ascii="Arial" w:hAnsi="Arial" w:cs="Arial"/>
          <w:color w:val="000000"/>
          <w:sz w:val="21"/>
          <w:szCs w:val="21"/>
        </w:rPr>
        <w:t xml:space="preserve">garding component 9), the feature of DL pathloss based OLPC is intended to control/minimize the among of </w:t>
      </w:r>
      <w:r w:rsidR="00CC27F0">
        <w:rPr>
          <w:rFonts w:ascii="Arial" w:hAnsi="Arial" w:cs="Arial"/>
          <w:color w:val="000000"/>
          <w:sz w:val="21"/>
          <w:szCs w:val="21"/>
        </w:rPr>
        <w:t xml:space="preserve">SL </w:t>
      </w:r>
      <w:r>
        <w:rPr>
          <w:rFonts w:ascii="Arial" w:hAnsi="Arial" w:cs="Arial"/>
          <w:color w:val="000000"/>
          <w:sz w:val="21"/>
          <w:szCs w:val="21"/>
        </w:rPr>
        <w:t xml:space="preserve">interference to the UL </w:t>
      </w:r>
      <w:r w:rsidR="00CC27F0">
        <w:rPr>
          <w:rFonts w:ascii="Arial" w:hAnsi="Arial" w:cs="Arial"/>
          <w:color w:val="000000"/>
          <w:sz w:val="21"/>
          <w:szCs w:val="21"/>
        </w:rPr>
        <w:t>reception at the gNB when SL is operating in the same carrier/band as the UL. As such, there would be no SL interference to the UL when there is Uu deployment in a band indicated with PC5 interface only.</w:t>
      </w:r>
    </w:p>
    <w:p w14:paraId="543C9A8D" w14:textId="0B865E1F" w:rsidR="00CC27F0" w:rsidRDefault="00CC27F0" w:rsidP="00300497">
      <w:pPr>
        <w:pStyle w:val="maintext"/>
        <w:spacing w:after="24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As to whether mandating a subcarrier spacing (SCS) for SL mode 1 scheduled by NR Uu, first of all, it is our understanding and a RAN1 agreement that the SCS/numerology for SL operation should be the same as the UL when operating in mode 1 to minimize </w:t>
      </w:r>
      <w:r w:rsidR="008B0B19">
        <w:rPr>
          <w:rFonts w:ascii="Arial" w:hAnsi="Arial" w:cs="Arial"/>
          <w:color w:val="000000"/>
          <w:sz w:val="21"/>
          <w:szCs w:val="21"/>
        </w:rPr>
        <w:t>complexity and the required UE capability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 w:rsidR="008B0B19">
        <w:rPr>
          <w:rFonts w:ascii="Arial" w:hAnsi="Arial" w:cs="Arial"/>
          <w:color w:val="000000"/>
          <w:sz w:val="21"/>
          <w:szCs w:val="21"/>
        </w:rPr>
        <w:t xml:space="preserve">As mode 1 operation should be supported for both licensed and ITS bands, and the </w:t>
      </w:r>
      <w:r w:rsidR="00CF17CF">
        <w:rPr>
          <w:rFonts w:ascii="Arial" w:hAnsi="Arial" w:cs="Arial"/>
          <w:color w:val="000000"/>
          <w:sz w:val="21"/>
          <w:szCs w:val="21"/>
        </w:rPr>
        <w:t>defined</w:t>
      </w:r>
      <w:r w:rsidR="008B0B19">
        <w:rPr>
          <w:rFonts w:ascii="Arial" w:hAnsi="Arial" w:cs="Arial"/>
          <w:color w:val="000000"/>
          <w:sz w:val="21"/>
          <w:szCs w:val="21"/>
        </w:rPr>
        <w:t xml:space="preserve"> SCS </w:t>
      </w:r>
      <w:r w:rsidR="00CF17CF">
        <w:rPr>
          <w:rFonts w:ascii="Arial" w:hAnsi="Arial" w:cs="Arial"/>
          <w:color w:val="000000"/>
          <w:sz w:val="21"/>
          <w:szCs w:val="21"/>
        </w:rPr>
        <w:t xml:space="preserve">in RAN4 </w:t>
      </w:r>
      <w:r w:rsidR="008B0B19">
        <w:rPr>
          <w:rFonts w:ascii="Arial" w:hAnsi="Arial" w:cs="Arial"/>
          <w:color w:val="000000"/>
          <w:sz w:val="21"/>
          <w:szCs w:val="21"/>
        </w:rPr>
        <w:t xml:space="preserve">for these bands can be wide ranging, it would be hard to mandate a particular SCS for mode 1. But if the focus </w:t>
      </w:r>
      <w:r w:rsidR="00CF17CF">
        <w:rPr>
          <w:rFonts w:ascii="Arial" w:hAnsi="Arial" w:cs="Arial"/>
          <w:color w:val="000000"/>
          <w:sz w:val="21"/>
          <w:szCs w:val="21"/>
        </w:rPr>
        <w:t>and</w:t>
      </w:r>
      <w:r w:rsidR="008B0B19">
        <w:rPr>
          <w:rFonts w:ascii="Arial" w:hAnsi="Arial" w:cs="Arial"/>
          <w:color w:val="000000"/>
          <w:sz w:val="21"/>
          <w:szCs w:val="21"/>
        </w:rPr>
        <w:t xml:space="preserve"> intention is only </w:t>
      </w:r>
      <w:r w:rsidR="00CF17CF">
        <w:rPr>
          <w:rFonts w:ascii="Arial" w:hAnsi="Arial" w:cs="Arial"/>
          <w:color w:val="000000"/>
          <w:sz w:val="21"/>
          <w:szCs w:val="21"/>
        </w:rPr>
        <w:t xml:space="preserve">limited </w:t>
      </w:r>
      <w:r w:rsidR="008B0B19">
        <w:rPr>
          <w:rFonts w:ascii="Arial" w:hAnsi="Arial" w:cs="Arial"/>
          <w:color w:val="000000"/>
          <w:sz w:val="21"/>
          <w:szCs w:val="21"/>
        </w:rPr>
        <w:t>to mandate 30kHz SCS for ITS bands with only PC5 interface in FR1</w:t>
      </w:r>
      <w:r w:rsidR="00CF17CF">
        <w:rPr>
          <w:rFonts w:ascii="Arial" w:hAnsi="Arial" w:cs="Arial"/>
          <w:color w:val="000000"/>
          <w:sz w:val="21"/>
          <w:szCs w:val="21"/>
        </w:rPr>
        <w:t xml:space="preserve"> (to harmonize with SL reception), we see this could be beneficial.</w:t>
      </w:r>
    </w:p>
    <w:p w14:paraId="4A6948BA" w14:textId="77777777" w:rsidR="00CF17CF" w:rsidRDefault="00CF17CF" w:rsidP="00AD2833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FG 15-2, </w:t>
      </w:r>
    </w:p>
    <w:p w14:paraId="3CD586AE" w14:textId="411BD434" w:rsidR="00CF17CF" w:rsidRDefault="00CF17CF" w:rsidP="00CF17C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agree to confirm the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text after “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FFS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”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in the Notes column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for component 9), and</w:t>
      </w:r>
    </w:p>
    <w:p w14:paraId="2B86CC9F" w14:textId="0E0A460E" w:rsidR="00392997" w:rsidRPr="00550E51" w:rsidRDefault="00CF17CF" w:rsidP="00550E51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it is acceptable to mandate 30kHz SCS in a band indicated with only the PC5 interface.</w:t>
      </w:r>
    </w:p>
    <w:p w14:paraId="5676206A" w14:textId="37E8FDEA" w:rsidR="00AD2833" w:rsidRPr="00AD2833" w:rsidRDefault="00AD2833" w:rsidP="00AD2833">
      <w:pPr>
        <w:pStyle w:val="maintext"/>
        <w:ind w:firstLineChars="0" w:firstLine="0"/>
        <w:rPr>
          <w:rFonts w:ascii="Calibri" w:hAnsi="Calibri" w:cs="Calibri"/>
          <w:color w:val="000000"/>
          <w:sz w:val="24"/>
          <w:szCs w:val="24"/>
        </w:rPr>
      </w:pPr>
      <w:r w:rsidRPr="00AD2833"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lastRenderedPageBreak/>
        <w:t>FG 15-</w:t>
      </w:r>
      <w:r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2352"/>
        <w:gridCol w:w="4800"/>
        <w:gridCol w:w="1562"/>
        <w:gridCol w:w="447"/>
        <w:gridCol w:w="447"/>
        <w:gridCol w:w="556"/>
        <w:gridCol w:w="1465"/>
        <w:gridCol w:w="567"/>
        <w:gridCol w:w="567"/>
        <w:gridCol w:w="567"/>
        <w:gridCol w:w="222"/>
        <w:gridCol w:w="1659"/>
      </w:tblGrid>
      <w:tr w:rsidR="00392997" w:rsidRPr="00EE7BAB" w14:paraId="2404DEEA" w14:textId="77777777" w:rsidTr="0003040F">
        <w:tc>
          <w:tcPr>
            <w:tcW w:w="0" w:type="auto"/>
            <w:shd w:val="clear" w:color="auto" w:fill="auto"/>
          </w:tcPr>
          <w:p w14:paraId="4AB5C74D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15-6</w:t>
            </w:r>
          </w:p>
        </w:tc>
        <w:tc>
          <w:tcPr>
            <w:tcW w:w="0" w:type="auto"/>
            <w:shd w:val="clear" w:color="auto" w:fill="auto"/>
          </w:tcPr>
          <w:p w14:paraId="3AAB9FAD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Short-term time-scale TDM for in-device coexistence</w:t>
            </w:r>
          </w:p>
        </w:tc>
        <w:tc>
          <w:tcPr>
            <w:tcW w:w="0" w:type="auto"/>
            <w:shd w:val="clear" w:color="auto" w:fill="auto"/>
          </w:tcPr>
          <w:p w14:paraId="65198D5B" w14:textId="77777777" w:rsidR="00392997" w:rsidRPr="00D317EC" w:rsidRDefault="00392997" w:rsidP="00AD2833">
            <w:pPr>
              <w:pStyle w:val="TAL"/>
              <w:numPr>
                <w:ilvl w:val="0"/>
                <w:numId w:val="43"/>
              </w:numPr>
              <w:rPr>
                <w:color w:val="000000"/>
              </w:rPr>
            </w:pPr>
            <w:r w:rsidRPr="00D317EC">
              <w:rPr>
                <w:color w:val="000000"/>
              </w:rPr>
              <w:t>Support prioritization between LTE sidelink transmission/reception and NR sidelink transmission/reception</w:t>
            </w:r>
          </w:p>
          <w:p w14:paraId="2050D046" w14:textId="77777777" w:rsidR="00392997" w:rsidRPr="00D317EC" w:rsidRDefault="00392997" w:rsidP="00AD2833">
            <w:pPr>
              <w:pStyle w:val="TAL"/>
              <w:numPr>
                <w:ilvl w:val="0"/>
                <w:numId w:val="43"/>
              </w:numPr>
              <w:rPr>
                <w:color w:val="000000"/>
              </w:rPr>
            </w:pPr>
            <w:r w:rsidRPr="00D317EC">
              <w:rPr>
                <w:color w:val="000000"/>
                <w:highlight w:val="yellow"/>
              </w:rPr>
              <w:t>FFS: Maximum time required for the inter-RAT conflict resolution is X</w:t>
            </w:r>
          </w:p>
        </w:tc>
        <w:tc>
          <w:tcPr>
            <w:tcW w:w="0" w:type="auto"/>
            <w:shd w:val="clear" w:color="auto" w:fill="auto"/>
          </w:tcPr>
          <w:p w14:paraId="5752DCB4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At least one of 15-1, 15-2, 15-3</w:t>
            </w:r>
          </w:p>
          <w:p w14:paraId="20E9C5FA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  <w:p w14:paraId="435CC077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UE supports LTE V2X sidelink</w:t>
            </w:r>
          </w:p>
        </w:tc>
        <w:tc>
          <w:tcPr>
            <w:tcW w:w="0" w:type="auto"/>
            <w:shd w:val="clear" w:color="auto" w:fill="auto"/>
          </w:tcPr>
          <w:p w14:paraId="58507B5B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994201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C85E213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color w:val="00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673ED834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per band combination</w:t>
            </w:r>
          </w:p>
        </w:tc>
        <w:tc>
          <w:tcPr>
            <w:tcW w:w="0" w:type="auto"/>
            <w:shd w:val="clear" w:color="auto" w:fill="auto"/>
          </w:tcPr>
          <w:p w14:paraId="70F932E8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322DD54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B919A7D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6BE05F03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19A9D95F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Optional with capability signalling</w:t>
            </w:r>
          </w:p>
        </w:tc>
      </w:tr>
    </w:tbl>
    <w:p w14:paraId="69E882D5" w14:textId="4743B8F8" w:rsidR="00392997" w:rsidRDefault="00550E51" w:rsidP="00550E51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 w:rsidRPr="00550E51">
        <w:rPr>
          <w:rFonts w:ascii="Arial" w:hAnsi="Arial" w:cs="Arial"/>
          <w:color w:val="000000"/>
          <w:sz w:val="21"/>
          <w:szCs w:val="21"/>
        </w:rPr>
        <w:t>For the value</w:t>
      </w:r>
      <w:r w:rsidR="002A1772">
        <w:rPr>
          <w:rFonts w:ascii="Arial" w:hAnsi="Arial" w:cs="Arial"/>
          <w:color w:val="000000"/>
          <w:sz w:val="21"/>
          <w:szCs w:val="21"/>
        </w:rPr>
        <w:t>s</w:t>
      </w:r>
      <w:r w:rsidRPr="00550E51">
        <w:rPr>
          <w:rFonts w:ascii="Arial" w:hAnsi="Arial" w:cs="Arial"/>
          <w:color w:val="000000"/>
          <w:sz w:val="21"/>
          <w:szCs w:val="21"/>
        </w:rPr>
        <w:t xml:space="preserve"> of X in component 2), </w:t>
      </w:r>
      <w:r w:rsidR="002A1772">
        <w:rPr>
          <w:rFonts w:ascii="Arial" w:hAnsi="Arial" w:cs="Arial"/>
          <w:color w:val="000000"/>
          <w:sz w:val="21"/>
          <w:szCs w:val="21"/>
        </w:rPr>
        <w:t xml:space="preserve">it has already been captured in RAN1 spec (38.213) including its usage for inter-RAT conflict resolution. From this perspective, it is not necessary to define a maximum time </w:t>
      </w:r>
      <w:r w:rsidR="00273F07">
        <w:rPr>
          <w:rFonts w:ascii="Arial" w:hAnsi="Arial" w:cs="Arial"/>
          <w:color w:val="000000"/>
          <w:sz w:val="21"/>
          <w:szCs w:val="21"/>
        </w:rPr>
        <w:t xml:space="preserve">required </w:t>
      </w:r>
      <w:r w:rsidR="002A1772">
        <w:rPr>
          <w:rFonts w:ascii="Arial" w:hAnsi="Arial" w:cs="Arial"/>
          <w:color w:val="000000"/>
          <w:sz w:val="21"/>
          <w:szCs w:val="21"/>
        </w:rPr>
        <w:t>for X in the UE features list again.</w:t>
      </w:r>
    </w:p>
    <w:p w14:paraId="66511E10" w14:textId="268FD8C5" w:rsidR="002A1772" w:rsidRDefault="002A1772" w:rsidP="00550E51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As </w:t>
      </w:r>
      <w:r w:rsidR="00273F07">
        <w:rPr>
          <w:rFonts w:ascii="Arial" w:hAnsi="Arial" w:cs="Arial"/>
          <w:color w:val="000000"/>
          <w:sz w:val="21"/>
          <w:szCs w:val="21"/>
        </w:rPr>
        <w:t xml:space="preserve">for the </w:t>
      </w:r>
      <w:r w:rsidR="00273F07" w:rsidRPr="00273F07">
        <w:rPr>
          <w:rFonts w:ascii="Arial" w:hAnsi="Arial" w:cs="Arial"/>
          <w:color w:val="000000"/>
          <w:sz w:val="21"/>
          <w:szCs w:val="21"/>
        </w:rPr>
        <w:t>prerequisite</w:t>
      </w:r>
      <w:r w:rsidR="00273F07">
        <w:rPr>
          <w:rFonts w:ascii="Arial" w:hAnsi="Arial" w:cs="Arial"/>
          <w:color w:val="000000"/>
          <w:sz w:val="21"/>
          <w:szCs w:val="21"/>
        </w:rPr>
        <w:t>, it should be clarified that UE needs to support LTE V2X sidelink in the same band per band combination. Otherwise, it should be out of UE’s capability to support this feature.</w:t>
      </w:r>
    </w:p>
    <w:p w14:paraId="777BD0E2" w14:textId="2D4FCF09" w:rsidR="00273F07" w:rsidRPr="00550E51" w:rsidRDefault="00273F07" w:rsidP="00300497">
      <w:pPr>
        <w:pStyle w:val="maintext"/>
        <w:spacing w:before="120" w:after="24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As for the consequence of not supporting this feature, since there are other FDM-based solutions for in-device coexistence, this can be formulated as “UE supports only long-term time-scale as TDM</w:t>
      </w:r>
      <w:r w:rsidR="00CF6E6F">
        <w:rPr>
          <w:rFonts w:ascii="Arial" w:hAnsi="Arial" w:cs="Arial"/>
          <w:color w:val="000000"/>
          <w:sz w:val="21"/>
          <w:szCs w:val="21"/>
        </w:rPr>
        <w:t>-based</w:t>
      </w:r>
      <w:r>
        <w:rPr>
          <w:rFonts w:ascii="Arial" w:hAnsi="Arial" w:cs="Arial"/>
          <w:color w:val="000000"/>
          <w:sz w:val="21"/>
          <w:szCs w:val="21"/>
        </w:rPr>
        <w:t xml:space="preserve"> solution”</w:t>
      </w:r>
      <w:r w:rsidR="00CF6E6F">
        <w:rPr>
          <w:rFonts w:ascii="Arial" w:hAnsi="Arial" w:cs="Arial"/>
          <w:color w:val="000000"/>
          <w:sz w:val="21"/>
          <w:szCs w:val="21"/>
        </w:rPr>
        <w:t>.</w:t>
      </w:r>
    </w:p>
    <w:p w14:paraId="2875FEAF" w14:textId="3DF60120" w:rsidR="00CF6E6F" w:rsidRDefault="00CF6E6F" w:rsidP="00CF6E6F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 w:rsid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FG 15-6, </w:t>
      </w:r>
    </w:p>
    <w:p w14:paraId="51B8518C" w14:textId="6701AE81" w:rsidR="00CF6E6F" w:rsidRDefault="00CF6E6F" w:rsidP="00CF6E6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to remove component 2) as it is not necessary to define again the X value in the UE features list as already described in the spec,</w:t>
      </w:r>
    </w:p>
    <w:p w14:paraId="46907410" w14:textId="3F8A179A" w:rsidR="00CF6E6F" w:rsidRDefault="00CF6E6F" w:rsidP="00CF6E6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the prerequisite should be “UE </w:t>
      </w:r>
      <w:r w:rsidRPr="00CF6E6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support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s</w:t>
      </w:r>
      <w:r w:rsidRPr="00CF6E6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LTE V2X sidelink </w:t>
      </w:r>
      <w:r w:rsidRPr="00CF6E6F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in the same band per band combination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”, and</w:t>
      </w:r>
    </w:p>
    <w:p w14:paraId="3197A751" w14:textId="5504FE85" w:rsidR="00CF6E6F" w:rsidRDefault="00CF6E6F" w:rsidP="00CF6E6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the </w:t>
      </w:r>
      <w:r w:rsidRPr="00CF6E6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consequence of not supporting this feature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should be “</w:t>
      </w:r>
      <w:r w:rsidRPr="00CF6E6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UE supports only long-term time-scale as TDM-based solution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”.</w:t>
      </w:r>
    </w:p>
    <w:p w14:paraId="56D9CA40" w14:textId="77777777" w:rsidR="00392997" w:rsidRPr="00CF6E6F" w:rsidRDefault="00392997" w:rsidP="00300497">
      <w:pPr>
        <w:pStyle w:val="maintext"/>
        <w:ind w:firstLineChars="0" w:firstLine="0"/>
        <w:rPr>
          <w:rFonts w:ascii="Calibri" w:hAnsi="Calibri" w:cs="Calibri"/>
          <w:color w:val="000000"/>
        </w:rPr>
      </w:pPr>
    </w:p>
    <w:p w14:paraId="4660FF4D" w14:textId="59AC5661" w:rsidR="00AD2833" w:rsidRPr="00AD2833" w:rsidRDefault="00AD2833" w:rsidP="00AD2833">
      <w:pPr>
        <w:pStyle w:val="maintext"/>
        <w:ind w:firstLineChars="0" w:firstLine="0"/>
        <w:rPr>
          <w:rFonts w:ascii="Calibri" w:hAnsi="Calibri" w:cs="Calibri"/>
          <w:color w:val="000000"/>
          <w:sz w:val="24"/>
          <w:szCs w:val="24"/>
        </w:rPr>
      </w:pPr>
      <w:r w:rsidRPr="00AD2833"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FG 15-</w:t>
      </w:r>
      <w:r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060"/>
        <w:gridCol w:w="2252"/>
        <w:gridCol w:w="1136"/>
        <w:gridCol w:w="556"/>
        <w:gridCol w:w="556"/>
        <w:gridCol w:w="222"/>
        <w:gridCol w:w="725"/>
        <w:gridCol w:w="567"/>
        <w:gridCol w:w="567"/>
        <w:gridCol w:w="567"/>
        <w:gridCol w:w="4397"/>
        <w:gridCol w:w="2576"/>
      </w:tblGrid>
      <w:tr w:rsidR="00392997" w:rsidRPr="00EE7BAB" w14:paraId="4B439D98" w14:textId="77777777" w:rsidTr="0003040F">
        <w:tc>
          <w:tcPr>
            <w:tcW w:w="0" w:type="auto"/>
            <w:shd w:val="clear" w:color="auto" w:fill="auto"/>
          </w:tcPr>
          <w:p w14:paraId="79F09613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color w:val="000000"/>
              </w:rPr>
              <w:t>15-11</w:t>
            </w:r>
          </w:p>
        </w:tc>
        <w:tc>
          <w:tcPr>
            <w:tcW w:w="0" w:type="auto"/>
            <w:shd w:val="clear" w:color="auto" w:fill="auto"/>
          </w:tcPr>
          <w:p w14:paraId="1DBA4739" w14:textId="77777777" w:rsidR="00392997" w:rsidRPr="00D317EC" w:rsidRDefault="00392997" w:rsidP="00AD2833">
            <w:pPr>
              <w:pStyle w:val="TAL"/>
              <w:rPr>
                <w:strike/>
                <w:color w:val="000000"/>
              </w:rPr>
            </w:pPr>
            <w:r w:rsidRPr="00D317EC">
              <w:rPr>
                <w:color w:val="000000"/>
              </w:rPr>
              <w:t xml:space="preserve">PSFCH format 0 </w:t>
            </w:r>
          </w:p>
        </w:tc>
        <w:tc>
          <w:tcPr>
            <w:tcW w:w="0" w:type="auto"/>
            <w:shd w:val="clear" w:color="auto" w:fill="auto"/>
          </w:tcPr>
          <w:p w14:paraId="0E4B13FA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1) UE can transmit and receive NR PSFCH format 0</w:t>
            </w:r>
          </w:p>
          <w:p w14:paraId="714A0F1F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2) UE can receive up to N PSFCH(s) resources in a slot.</w:t>
            </w:r>
          </w:p>
          <w:p w14:paraId="41330608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3) UE can transmit up to M PSFCH(s) resources in a slot</w:t>
            </w:r>
          </w:p>
        </w:tc>
        <w:tc>
          <w:tcPr>
            <w:tcW w:w="0" w:type="auto"/>
            <w:shd w:val="clear" w:color="auto" w:fill="auto"/>
          </w:tcPr>
          <w:p w14:paraId="5D7B3ECA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At least one of 15-1, 15-3</w:t>
            </w:r>
          </w:p>
        </w:tc>
        <w:tc>
          <w:tcPr>
            <w:tcW w:w="0" w:type="auto"/>
            <w:shd w:val="clear" w:color="auto" w:fill="auto"/>
          </w:tcPr>
          <w:p w14:paraId="5C24BC13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D317EC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85005F0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D317EC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1008449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0BDF8B90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9F9B8C8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C3288BE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59B4A612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253D5D9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This is the basic FG for sidelink.</w:t>
            </w:r>
          </w:p>
          <w:p w14:paraId="653FA4C5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  <w:p w14:paraId="55A10996" w14:textId="77777777" w:rsidR="00392997" w:rsidRPr="00D317EC" w:rsidRDefault="00392997" w:rsidP="00AD2833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D317EC">
              <w:rPr>
                <w:rFonts w:eastAsia="SimSun"/>
                <w:color w:val="000000"/>
                <w:lang w:eastAsia="zh-CN"/>
              </w:rPr>
              <w:t>Note: configuration by NR Uu is not required to be supported in a band indicated with only the PC5 interface in 38.101-1 Table 5.2E-1</w:t>
            </w:r>
          </w:p>
          <w:p w14:paraId="1DF99F2E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  <w:p w14:paraId="0C5C5978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Candidate values for N are {5, 15, 25, 32, 35, 45, 50, 64}</w:t>
            </w:r>
          </w:p>
          <w:p w14:paraId="4DE0F515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</w:p>
          <w:p w14:paraId="4A271213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Candidate values for M are {4, 8, 16}</w:t>
            </w:r>
          </w:p>
        </w:tc>
        <w:tc>
          <w:tcPr>
            <w:tcW w:w="0" w:type="auto"/>
            <w:shd w:val="clear" w:color="auto" w:fill="auto"/>
          </w:tcPr>
          <w:p w14:paraId="57ED4EDF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Optional with capability signalling</w:t>
            </w:r>
          </w:p>
          <w:p w14:paraId="45F7B766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For UE supports NR sidelink, UE must indicate this FG is supported.</w:t>
            </w:r>
          </w:p>
        </w:tc>
      </w:tr>
    </w:tbl>
    <w:p w14:paraId="7C01AC61" w14:textId="77777777" w:rsidR="00392997" w:rsidRDefault="00392997" w:rsidP="00AD2833">
      <w:pPr>
        <w:pStyle w:val="maintext"/>
        <w:ind w:firstLineChars="90" w:firstLine="180"/>
        <w:rPr>
          <w:rFonts w:ascii="Calibri" w:hAnsi="Calibri" w:cs="Calibri"/>
          <w:color w:val="000000"/>
        </w:rPr>
      </w:pPr>
    </w:p>
    <w:p w14:paraId="5E146020" w14:textId="18E69667" w:rsidR="00CF6E6F" w:rsidRDefault="00F45172" w:rsidP="00CF6E6F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As for</w:t>
      </w:r>
      <w:r w:rsidR="00CF6E6F">
        <w:rPr>
          <w:rFonts w:ascii="Arial" w:hAnsi="Arial" w:cs="Arial"/>
          <w:color w:val="000000"/>
          <w:sz w:val="21"/>
          <w:szCs w:val="21"/>
        </w:rPr>
        <w:t xml:space="preserve"> the report</w:t>
      </w:r>
      <w:r>
        <w:rPr>
          <w:rFonts w:ascii="Arial" w:hAnsi="Arial" w:cs="Arial"/>
          <w:color w:val="000000"/>
          <w:sz w:val="21"/>
          <w:szCs w:val="21"/>
        </w:rPr>
        <w:t>ing</w:t>
      </w:r>
      <w:r w:rsidR="00CF6E6F">
        <w:rPr>
          <w:rFonts w:ascii="Arial" w:hAnsi="Arial" w:cs="Arial"/>
          <w:color w:val="000000"/>
          <w:sz w:val="21"/>
          <w:szCs w:val="21"/>
        </w:rPr>
        <w:t xml:space="preserve"> of UE’s </w:t>
      </w:r>
      <w:r>
        <w:rPr>
          <w:rFonts w:ascii="Arial" w:hAnsi="Arial" w:cs="Arial"/>
          <w:color w:val="000000"/>
          <w:sz w:val="21"/>
          <w:szCs w:val="21"/>
        </w:rPr>
        <w:t>support</w:t>
      </w:r>
      <w:r w:rsidR="00CF6E6F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and capability in N and M values </w:t>
      </w:r>
      <w:r w:rsidR="00CF6E6F">
        <w:rPr>
          <w:rFonts w:ascii="Arial" w:hAnsi="Arial" w:cs="Arial"/>
          <w:color w:val="000000"/>
          <w:sz w:val="21"/>
          <w:szCs w:val="21"/>
        </w:rPr>
        <w:t xml:space="preserve">for PSFCH format 0 to gNB, </w:t>
      </w:r>
      <w:r>
        <w:rPr>
          <w:rFonts w:ascii="Arial" w:hAnsi="Arial" w:cs="Arial"/>
          <w:color w:val="000000"/>
          <w:sz w:val="21"/>
          <w:szCs w:val="21"/>
        </w:rPr>
        <w:t xml:space="preserve">we believe it is beneficial as the gNB can take these into account </w:t>
      </w:r>
      <w:r w:rsidRPr="00F45172">
        <w:rPr>
          <w:rFonts w:ascii="Arial" w:hAnsi="Arial" w:cs="Arial"/>
          <w:color w:val="000000"/>
          <w:sz w:val="21"/>
          <w:szCs w:val="21"/>
        </w:rPr>
        <w:t>when dimensioning PSFCH resources and making scheduling decisions.</w:t>
      </w:r>
    </w:p>
    <w:p w14:paraId="4EB88949" w14:textId="78B41BFB" w:rsidR="00CF6E6F" w:rsidRDefault="00F45172" w:rsidP="00CF6E6F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As for the reporting to another UE (SL-Tx UE), it is </w:t>
      </w:r>
      <w:r w:rsidRPr="00F45172">
        <w:rPr>
          <w:rFonts w:ascii="Arial" w:hAnsi="Arial" w:cs="Arial"/>
          <w:color w:val="000000"/>
          <w:sz w:val="21"/>
          <w:szCs w:val="21"/>
        </w:rPr>
        <w:t>useful for the peer UE to know the other UE’s capability in how many PSFCH resources can be transmitted in a slot to avoid requesting number of PSFCH transmissions beyond UE’s capability.</w:t>
      </w:r>
      <w:r>
        <w:rPr>
          <w:rFonts w:ascii="Arial" w:hAnsi="Arial" w:cs="Arial"/>
          <w:color w:val="000000"/>
          <w:sz w:val="21"/>
          <w:szCs w:val="21"/>
        </w:rPr>
        <w:t xml:space="preserve"> But since the minimum supported M value is 4 and maximum periodicity for PSFCH is 4 slots, this feature can be optionally reported to </w:t>
      </w:r>
      <w:r w:rsidR="009D16C9">
        <w:rPr>
          <w:rFonts w:ascii="Arial" w:hAnsi="Arial" w:cs="Arial"/>
          <w:color w:val="000000"/>
          <w:sz w:val="21"/>
          <w:szCs w:val="21"/>
        </w:rPr>
        <w:t>peer</w:t>
      </w:r>
      <w:r>
        <w:rPr>
          <w:rFonts w:ascii="Arial" w:hAnsi="Arial" w:cs="Arial"/>
          <w:color w:val="000000"/>
          <w:sz w:val="21"/>
          <w:szCs w:val="21"/>
        </w:rPr>
        <w:t xml:space="preserve"> UE.</w:t>
      </w:r>
    </w:p>
    <w:p w14:paraId="30A255D5" w14:textId="4AC41627" w:rsidR="009D16C9" w:rsidRDefault="009D16C9" w:rsidP="00300497">
      <w:pPr>
        <w:pStyle w:val="maintext"/>
        <w:spacing w:before="120" w:after="24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Additionally, as an observation, it is functionally not necessary to define this FG 15-11 if it is reported to neither gNB or peer UE.</w:t>
      </w:r>
    </w:p>
    <w:p w14:paraId="3E0E4ABB" w14:textId="1073DD3A" w:rsidR="00CF6E6F" w:rsidRDefault="00CF6E6F" w:rsidP="00CF6E6F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 w:rsid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3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FG 15-11, </w:t>
      </w:r>
    </w:p>
    <w:p w14:paraId="4555C944" w14:textId="20668187" w:rsidR="00CF6E6F" w:rsidRDefault="00F45172" w:rsidP="00CF6E6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F45172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Reporting to gNB (yes), gNB to take this reporting into account when dimensioning PSFCH resources and making scheduling decisions.</w:t>
      </w:r>
    </w:p>
    <w:p w14:paraId="5E17F004" w14:textId="61A4DFD0" w:rsidR="00392997" w:rsidRPr="00CF6E6F" w:rsidRDefault="009D16C9" w:rsidP="00CF6E6F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F45172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Reporting to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peer UE</w:t>
      </w:r>
      <w:r w:rsidRPr="00F45172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(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optional</w:t>
      </w:r>
      <w:r w:rsidRPr="00F45172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),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</w:t>
      </w:r>
      <w:r w:rsid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i</w:t>
      </w:r>
      <w:r w:rsidR="00300497" w:rsidRP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t </w:t>
      </w:r>
      <w:r w:rsid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may be</w:t>
      </w:r>
      <w:r w:rsidR="00300497" w:rsidRP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 useful for the peer UE to know the other UE’s capability in how many PSFCH resources can be transmitted in a slot to avoid requesting number of PSFCH transmissions beyond UE’s capability.</w:t>
      </w:r>
    </w:p>
    <w:p w14:paraId="731C6CFA" w14:textId="77777777" w:rsidR="00300497" w:rsidRDefault="00300497" w:rsidP="00AD2833">
      <w:pPr>
        <w:pStyle w:val="maintext"/>
        <w:ind w:firstLineChars="0" w:firstLine="0"/>
        <w:rPr>
          <w:rFonts w:ascii="Calibri" w:hAnsi="Calibri" w:cs="Arial"/>
          <w:b/>
          <w:bCs/>
          <w:i/>
          <w:iCs/>
          <w:sz w:val="24"/>
          <w:szCs w:val="24"/>
          <w:u w:val="single"/>
        </w:rPr>
      </w:pPr>
    </w:p>
    <w:p w14:paraId="7F7A59DD" w14:textId="41B26012" w:rsidR="00392997" w:rsidRPr="00AD2833" w:rsidRDefault="00392997" w:rsidP="00AD2833">
      <w:pPr>
        <w:pStyle w:val="maintext"/>
        <w:ind w:firstLineChars="0" w:firstLine="0"/>
        <w:rPr>
          <w:rFonts w:ascii="Calibri" w:hAnsi="Calibri" w:cs="Calibri"/>
          <w:color w:val="000000"/>
          <w:sz w:val="24"/>
          <w:szCs w:val="24"/>
        </w:rPr>
      </w:pPr>
      <w:r w:rsidRPr="00AD2833">
        <w:rPr>
          <w:rFonts w:ascii="Calibri" w:hAnsi="Calibri" w:cs="Arial"/>
          <w:b/>
          <w:bCs/>
          <w:i/>
          <w:iCs/>
          <w:sz w:val="24"/>
          <w:szCs w:val="24"/>
          <w:u w:val="single"/>
        </w:rPr>
        <w:t>FG 15-18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644"/>
        <w:gridCol w:w="2225"/>
        <w:gridCol w:w="799"/>
        <w:gridCol w:w="447"/>
        <w:gridCol w:w="556"/>
        <w:gridCol w:w="2012"/>
        <w:gridCol w:w="713"/>
        <w:gridCol w:w="582"/>
        <w:gridCol w:w="567"/>
        <w:gridCol w:w="567"/>
        <w:gridCol w:w="3559"/>
        <w:gridCol w:w="1519"/>
      </w:tblGrid>
      <w:tr w:rsidR="00392997" w:rsidRPr="00EE7BAB" w14:paraId="3DAB3D8B" w14:textId="77777777" w:rsidTr="0003040F">
        <w:tc>
          <w:tcPr>
            <w:tcW w:w="0" w:type="auto"/>
            <w:shd w:val="clear" w:color="auto" w:fill="auto"/>
          </w:tcPr>
          <w:p w14:paraId="13D677D6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color w:val="000000"/>
              </w:rPr>
              <w:t>15-18</w:t>
            </w:r>
          </w:p>
        </w:tc>
        <w:tc>
          <w:tcPr>
            <w:tcW w:w="0" w:type="auto"/>
            <w:shd w:val="clear" w:color="auto" w:fill="auto"/>
          </w:tcPr>
          <w:p w14:paraId="25C00CA8" w14:textId="77777777" w:rsidR="00392997" w:rsidRPr="00D317EC" w:rsidRDefault="00392997" w:rsidP="00AD2833">
            <w:pPr>
              <w:pStyle w:val="TAL"/>
              <w:rPr>
                <w:strike/>
                <w:color w:val="000000"/>
              </w:rPr>
            </w:pPr>
            <w:r w:rsidRPr="00D317EC">
              <w:rPr>
                <w:color w:val="000000"/>
              </w:rPr>
              <w:t>Support of rank 2 transmission</w:t>
            </w:r>
          </w:p>
        </w:tc>
        <w:tc>
          <w:tcPr>
            <w:tcW w:w="0" w:type="auto"/>
            <w:shd w:val="clear" w:color="auto" w:fill="auto"/>
          </w:tcPr>
          <w:p w14:paraId="53B2608C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1) UE additionally supports rank 2 PSSCH transmission</w:t>
            </w:r>
          </w:p>
        </w:tc>
        <w:tc>
          <w:tcPr>
            <w:tcW w:w="0" w:type="auto"/>
            <w:shd w:val="clear" w:color="auto" w:fill="auto"/>
          </w:tcPr>
          <w:p w14:paraId="7D2EBAB0" w14:textId="1C523294" w:rsidR="00392997" w:rsidRPr="00D317EC" w:rsidRDefault="00AD2833" w:rsidP="00AD2833">
            <w:pPr>
              <w:pStyle w:val="TAL"/>
              <w:rPr>
                <w:color w:val="000000"/>
                <w:highlight w:val="yellow"/>
              </w:rPr>
            </w:pPr>
            <w:r w:rsidRPr="00AD2833">
              <w:rPr>
                <w:rFonts w:eastAsia="Malgun Gothic"/>
                <w:color w:val="000000"/>
                <w:lang w:eastAsia="ko-KR"/>
              </w:rPr>
              <w:t>15-14 with P=2</w:t>
            </w:r>
          </w:p>
        </w:tc>
        <w:tc>
          <w:tcPr>
            <w:tcW w:w="0" w:type="auto"/>
            <w:shd w:val="clear" w:color="auto" w:fill="auto"/>
          </w:tcPr>
          <w:p w14:paraId="04BCFE5B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176ABD1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D317EC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0AA6B10" w14:textId="77777777" w:rsidR="00392997" w:rsidRPr="00D317EC" w:rsidRDefault="00392997" w:rsidP="00AD2833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D317EC">
              <w:rPr>
                <w:rFonts w:eastAsia="Malgun Gothic"/>
                <w:color w:val="000000"/>
                <w:lang w:eastAsia="ko-KR"/>
              </w:rPr>
              <w:t>UE supports rank 1 PSSCH transmission only.</w:t>
            </w:r>
          </w:p>
        </w:tc>
        <w:tc>
          <w:tcPr>
            <w:tcW w:w="0" w:type="auto"/>
            <w:shd w:val="clear" w:color="auto" w:fill="auto"/>
          </w:tcPr>
          <w:p w14:paraId="44D9FB23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9843BA3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 xml:space="preserve"> N.A.</w:t>
            </w:r>
          </w:p>
        </w:tc>
        <w:tc>
          <w:tcPr>
            <w:tcW w:w="0" w:type="auto"/>
            <w:shd w:val="clear" w:color="auto" w:fill="auto"/>
          </w:tcPr>
          <w:p w14:paraId="60F0D8D2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2BACCD4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350A102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RAN1 does not see a need for the gNB to know if the feature is supported but would like to leave final decision to RAN2</w:t>
            </w:r>
          </w:p>
        </w:tc>
        <w:tc>
          <w:tcPr>
            <w:tcW w:w="0" w:type="auto"/>
            <w:shd w:val="clear" w:color="auto" w:fill="auto"/>
          </w:tcPr>
          <w:p w14:paraId="673D81D9" w14:textId="77777777" w:rsidR="00392997" w:rsidRPr="00D317EC" w:rsidRDefault="00392997" w:rsidP="00AD2833">
            <w:pPr>
              <w:pStyle w:val="TAL"/>
              <w:rPr>
                <w:color w:val="000000"/>
              </w:rPr>
            </w:pPr>
            <w:r w:rsidRPr="00D317EC">
              <w:rPr>
                <w:color w:val="000000"/>
              </w:rPr>
              <w:t>Optional with capability signalling</w:t>
            </w:r>
          </w:p>
        </w:tc>
      </w:tr>
    </w:tbl>
    <w:p w14:paraId="0241ACB2" w14:textId="452D8DC2" w:rsidR="00300497" w:rsidRDefault="00DA62E7" w:rsidP="00300497">
      <w:pPr>
        <w:pStyle w:val="maintext"/>
        <w:spacing w:before="12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F</w:t>
      </w:r>
      <w:r w:rsidR="00300497">
        <w:rPr>
          <w:rFonts w:ascii="Arial" w:hAnsi="Arial" w:cs="Arial"/>
          <w:color w:val="000000"/>
          <w:sz w:val="21"/>
          <w:szCs w:val="21"/>
        </w:rPr>
        <w:t xml:space="preserve">or the reporting </w:t>
      </w:r>
      <w:r>
        <w:rPr>
          <w:rFonts w:ascii="Arial" w:hAnsi="Arial" w:cs="Arial"/>
          <w:color w:val="000000"/>
          <w:sz w:val="21"/>
          <w:szCs w:val="21"/>
        </w:rPr>
        <w:t xml:space="preserve">of support for rank 2 transmission </w:t>
      </w:r>
      <w:r w:rsidR="00300497">
        <w:rPr>
          <w:rFonts w:ascii="Arial" w:hAnsi="Arial" w:cs="Arial"/>
          <w:color w:val="000000"/>
          <w:sz w:val="21"/>
          <w:szCs w:val="21"/>
        </w:rPr>
        <w:t xml:space="preserve">to another UE, </w:t>
      </w:r>
      <w:r w:rsidRPr="00DA62E7">
        <w:rPr>
          <w:rFonts w:ascii="Arial" w:hAnsi="Arial" w:cs="Arial"/>
          <w:color w:val="000000"/>
          <w:sz w:val="21"/>
          <w:szCs w:val="21"/>
        </w:rPr>
        <w:t xml:space="preserve">it is essential in the unicast for proper configuration of CSI-RS and for the other UE to know what can be reported in </w:t>
      </w:r>
      <w:r>
        <w:rPr>
          <w:rFonts w:ascii="Arial" w:hAnsi="Arial" w:cs="Arial"/>
          <w:color w:val="000000"/>
          <w:sz w:val="21"/>
          <w:szCs w:val="21"/>
        </w:rPr>
        <w:t>rank indicator</w:t>
      </w:r>
      <w:r w:rsidRPr="00DA62E7">
        <w:rPr>
          <w:rFonts w:ascii="Arial" w:hAnsi="Arial" w:cs="Arial"/>
          <w:color w:val="000000"/>
          <w:sz w:val="21"/>
          <w:szCs w:val="21"/>
        </w:rPr>
        <w:t>.</w:t>
      </w:r>
    </w:p>
    <w:p w14:paraId="2C8ADDA4" w14:textId="339D27BE" w:rsidR="00300497" w:rsidRDefault="00300497" w:rsidP="00300497">
      <w:pPr>
        <w:pStyle w:val="maintext"/>
        <w:spacing w:before="120" w:after="240"/>
        <w:ind w:firstLineChars="0" w:firstLine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Additionally, as an observation, it is functionally not necessary to define this FG 15-18 if it is reported to neither gNB or peer UE.</w:t>
      </w:r>
    </w:p>
    <w:p w14:paraId="6665A02A" w14:textId="611F1719" w:rsidR="00300497" w:rsidRDefault="00300497" w:rsidP="00300497">
      <w:pPr>
        <w:pStyle w:val="maintext"/>
        <w:ind w:firstLineChars="0" w:firstLine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Proposal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4</w:t>
      </w:r>
      <w:r w:rsidRPr="00CF17CF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For FG 15-18, </w:t>
      </w:r>
    </w:p>
    <w:p w14:paraId="6D64E3EC" w14:textId="2D44CDD8" w:rsidR="00392997" w:rsidRPr="00761092" w:rsidRDefault="00300497" w:rsidP="00761092">
      <w:pPr>
        <w:pStyle w:val="maintext"/>
        <w:numPr>
          <w:ilvl w:val="0"/>
          <w:numId w:val="48"/>
        </w:numPr>
        <w:ind w:firstLineChars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r</w:t>
      </w:r>
      <w:r w:rsidRP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eporting to peer UE (Yes), it is essential in the unicast for proper configuration of CSI-RS and for the other UE to know what can be reported in 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RI</w:t>
      </w:r>
      <w:r w:rsidRPr="00300497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.</w:t>
      </w:r>
    </w:p>
    <w:sectPr w:rsidR="00392997" w:rsidRPr="00761092" w:rsidSect="00392997">
      <w:footerReference w:type="default" r:id="rId8"/>
      <w:pgSz w:w="16838" w:h="11906" w:orient="landscape"/>
      <w:pgMar w:top="1440" w:right="53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F0588" w14:textId="77777777" w:rsidR="00030DDB" w:rsidRDefault="00030DDB" w:rsidP="00511BDE">
      <w:r>
        <w:separator/>
      </w:r>
    </w:p>
  </w:endnote>
  <w:endnote w:type="continuationSeparator" w:id="0">
    <w:p w14:paraId="564937F6" w14:textId="77777777" w:rsidR="00030DDB" w:rsidRDefault="00030DDB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CEB31" w14:textId="77777777" w:rsidR="00030DDB" w:rsidRDefault="00030DDB" w:rsidP="00511BDE">
      <w:r>
        <w:separator/>
      </w:r>
    </w:p>
  </w:footnote>
  <w:footnote w:type="continuationSeparator" w:id="0">
    <w:p w14:paraId="5859BC8C" w14:textId="77777777" w:rsidR="00030DDB" w:rsidRDefault="00030DDB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A93FD0"/>
    <w:multiLevelType w:val="hybridMultilevel"/>
    <w:tmpl w:val="0DEE9F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46A58"/>
    <w:multiLevelType w:val="hybridMultilevel"/>
    <w:tmpl w:val="3014EB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1E38"/>
    <w:multiLevelType w:val="hybridMultilevel"/>
    <w:tmpl w:val="0910E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D616B6"/>
    <w:multiLevelType w:val="hybridMultilevel"/>
    <w:tmpl w:val="D994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466296"/>
    <w:multiLevelType w:val="hybridMultilevel"/>
    <w:tmpl w:val="B0704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176211"/>
    <w:multiLevelType w:val="hybridMultilevel"/>
    <w:tmpl w:val="063683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773F7"/>
    <w:multiLevelType w:val="hybridMultilevel"/>
    <w:tmpl w:val="0DACF4EA"/>
    <w:lvl w:ilvl="0" w:tplc="83828D60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5A1C92"/>
    <w:multiLevelType w:val="hybridMultilevel"/>
    <w:tmpl w:val="05F4BD5C"/>
    <w:lvl w:ilvl="0" w:tplc="084A7E5C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A169E"/>
    <w:multiLevelType w:val="hybridMultilevel"/>
    <w:tmpl w:val="A224AC0A"/>
    <w:lvl w:ilvl="0" w:tplc="A35A3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38"/>
  </w:num>
  <w:num w:numId="3">
    <w:abstractNumId w:val="36"/>
  </w:num>
  <w:num w:numId="4">
    <w:abstractNumId w:val="25"/>
  </w:num>
  <w:num w:numId="5">
    <w:abstractNumId w:val="3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0"/>
  </w:num>
  <w:num w:numId="11">
    <w:abstractNumId w:val="27"/>
  </w:num>
  <w:num w:numId="12">
    <w:abstractNumId w:val="35"/>
  </w:num>
  <w:num w:numId="13">
    <w:abstractNumId w:val="2"/>
  </w:num>
  <w:num w:numId="14">
    <w:abstractNumId w:val="20"/>
  </w:num>
  <w:num w:numId="15">
    <w:abstractNumId w:val="11"/>
  </w:num>
  <w:num w:numId="16">
    <w:abstractNumId w:val="41"/>
  </w:num>
  <w:num w:numId="17">
    <w:abstractNumId w:val="21"/>
  </w:num>
  <w:num w:numId="18">
    <w:abstractNumId w:val="6"/>
  </w:num>
  <w:num w:numId="19">
    <w:abstractNumId w:val="23"/>
  </w:num>
  <w:num w:numId="20">
    <w:abstractNumId w:val="30"/>
  </w:num>
  <w:num w:numId="21">
    <w:abstractNumId w:val="8"/>
  </w:num>
  <w:num w:numId="22">
    <w:abstractNumId w:val="39"/>
  </w:num>
  <w:num w:numId="23">
    <w:abstractNumId w:val="29"/>
  </w:num>
  <w:num w:numId="24">
    <w:abstractNumId w:val="24"/>
  </w:num>
  <w:num w:numId="25">
    <w:abstractNumId w:val="22"/>
  </w:num>
  <w:num w:numId="26">
    <w:abstractNumId w:val="7"/>
  </w:num>
  <w:num w:numId="27">
    <w:abstractNumId w:val="32"/>
  </w:num>
  <w:num w:numId="28">
    <w:abstractNumId w:val="16"/>
  </w:num>
  <w:num w:numId="29">
    <w:abstractNumId w:val="14"/>
  </w:num>
  <w:num w:numId="30">
    <w:abstractNumId w:val="19"/>
  </w:num>
  <w:num w:numId="31">
    <w:abstractNumId w:val="12"/>
  </w:num>
  <w:num w:numId="32">
    <w:abstractNumId w:val="37"/>
  </w:num>
  <w:num w:numId="33">
    <w:abstractNumId w:val="40"/>
  </w:num>
  <w:num w:numId="34">
    <w:abstractNumId w:val="32"/>
  </w:num>
  <w:num w:numId="35">
    <w:abstractNumId w:val="37"/>
  </w:num>
  <w:num w:numId="3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33"/>
  </w:num>
  <w:num w:numId="42">
    <w:abstractNumId w:val="13"/>
  </w:num>
  <w:num w:numId="43">
    <w:abstractNumId w:val="4"/>
  </w:num>
  <w:num w:numId="44">
    <w:abstractNumId w:val="1"/>
  </w:num>
  <w:num w:numId="45">
    <w:abstractNumId w:val="10"/>
  </w:num>
  <w:num w:numId="46">
    <w:abstractNumId w:val="28"/>
  </w:num>
  <w:num w:numId="47">
    <w:abstractNumId w:val="17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30DDB"/>
    <w:rsid w:val="00036438"/>
    <w:rsid w:val="000416C0"/>
    <w:rsid w:val="0004679C"/>
    <w:rsid w:val="00053E4E"/>
    <w:rsid w:val="0007695E"/>
    <w:rsid w:val="000916AE"/>
    <w:rsid w:val="00093C02"/>
    <w:rsid w:val="00096409"/>
    <w:rsid w:val="000A4750"/>
    <w:rsid w:val="000A5226"/>
    <w:rsid w:val="000D0A1D"/>
    <w:rsid w:val="000E2C50"/>
    <w:rsid w:val="00106103"/>
    <w:rsid w:val="00106B02"/>
    <w:rsid w:val="00116AEB"/>
    <w:rsid w:val="00145600"/>
    <w:rsid w:val="00146887"/>
    <w:rsid w:val="001546FA"/>
    <w:rsid w:val="00157F24"/>
    <w:rsid w:val="00160785"/>
    <w:rsid w:val="00164673"/>
    <w:rsid w:val="001652D6"/>
    <w:rsid w:val="00167A4E"/>
    <w:rsid w:val="00171A43"/>
    <w:rsid w:val="001728C1"/>
    <w:rsid w:val="00174BFC"/>
    <w:rsid w:val="00177749"/>
    <w:rsid w:val="00183804"/>
    <w:rsid w:val="00185DDA"/>
    <w:rsid w:val="001866C7"/>
    <w:rsid w:val="00187D96"/>
    <w:rsid w:val="00192047"/>
    <w:rsid w:val="001A74CB"/>
    <w:rsid w:val="001C4A2A"/>
    <w:rsid w:val="001D1627"/>
    <w:rsid w:val="001D6BAF"/>
    <w:rsid w:val="001E76A3"/>
    <w:rsid w:val="001F006C"/>
    <w:rsid w:val="001F0A9C"/>
    <w:rsid w:val="001F6548"/>
    <w:rsid w:val="00204464"/>
    <w:rsid w:val="00211EF2"/>
    <w:rsid w:val="00216862"/>
    <w:rsid w:val="002241E8"/>
    <w:rsid w:val="002256E9"/>
    <w:rsid w:val="00233380"/>
    <w:rsid w:val="00233469"/>
    <w:rsid w:val="00241C45"/>
    <w:rsid w:val="0024235B"/>
    <w:rsid w:val="00246379"/>
    <w:rsid w:val="00246872"/>
    <w:rsid w:val="00267F62"/>
    <w:rsid w:val="00273F07"/>
    <w:rsid w:val="00274E92"/>
    <w:rsid w:val="002766FF"/>
    <w:rsid w:val="00276E92"/>
    <w:rsid w:val="00286CBC"/>
    <w:rsid w:val="00295566"/>
    <w:rsid w:val="002A09BD"/>
    <w:rsid w:val="002A1772"/>
    <w:rsid w:val="002A48E2"/>
    <w:rsid w:val="002A6143"/>
    <w:rsid w:val="002B5CFD"/>
    <w:rsid w:val="002E3F2D"/>
    <w:rsid w:val="002E6DFD"/>
    <w:rsid w:val="00300497"/>
    <w:rsid w:val="00305EFA"/>
    <w:rsid w:val="00311E4D"/>
    <w:rsid w:val="0031286C"/>
    <w:rsid w:val="0031500A"/>
    <w:rsid w:val="00351C4E"/>
    <w:rsid w:val="00353A59"/>
    <w:rsid w:val="00354CC5"/>
    <w:rsid w:val="0036075A"/>
    <w:rsid w:val="00362044"/>
    <w:rsid w:val="0038413D"/>
    <w:rsid w:val="00390468"/>
    <w:rsid w:val="00392997"/>
    <w:rsid w:val="00392DDA"/>
    <w:rsid w:val="00393F69"/>
    <w:rsid w:val="003958D7"/>
    <w:rsid w:val="003A5F5F"/>
    <w:rsid w:val="003B0B70"/>
    <w:rsid w:val="003C0DE5"/>
    <w:rsid w:val="003D07CF"/>
    <w:rsid w:val="003E2817"/>
    <w:rsid w:val="003E387D"/>
    <w:rsid w:val="003E6210"/>
    <w:rsid w:val="00420BE7"/>
    <w:rsid w:val="00442D8B"/>
    <w:rsid w:val="00444473"/>
    <w:rsid w:val="0045688F"/>
    <w:rsid w:val="00460356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682F"/>
    <w:rsid w:val="004E0EB3"/>
    <w:rsid w:val="004E6076"/>
    <w:rsid w:val="00500313"/>
    <w:rsid w:val="00505883"/>
    <w:rsid w:val="00510A0A"/>
    <w:rsid w:val="00511BDE"/>
    <w:rsid w:val="00542EDE"/>
    <w:rsid w:val="00547AFB"/>
    <w:rsid w:val="00550E51"/>
    <w:rsid w:val="00565E67"/>
    <w:rsid w:val="00577A9B"/>
    <w:rsid w:val="005868BE"/>
    <w:rsid w:val="00587211"/>
    <w:rsid w:val="00590216"/>
    <w:rsid w:val="005921AD"/>
    <w:rsid w:val="00594422"/>
    <w:rsid w:val="005A28DC"/>
    <w:rsid w:val="005B6FDD"/>
    <w:rsid w:val="005C61CF"/>
    <w:rsid w:val="005C730F"/>
    <w:rsid w:val="005D2AA3"/>
    <w:rsid w:val="005E1C04"/>
    <w:rsid w:val="005E3141"/>
    <w:rsid w:val="005E3ADE"/>
    <w:rsid w:val="005F3FCB"/>
    <w:rsid w:val="00606BE3"/>
    <w:rsid w:val="006251B5"/>
    <w:rsid w:val="00630849"/>
    <w:rsid w:val="006436A1"/>
    <w:rsid w:val="00657443"/>
    <w:rsid w:val="00662AEF"/>
    <w:rsid w:val="0067597E"/>
    <w:rsid w:val="006921B0"/>
    <w:rsid w:val="00695FE2"/>
    <w:rsid w:val="006A3142"/>
    <w:rsid w:val="006A4FB5"/>
    <w:rsid w:val="006B164D"/>
    <w:rsid w:val="006C3B09"/>
    <w:rsid w:val="006C7BC6"/>
    <w:rsid w:val="006D245D"/>
    <w:rsid w:val="007018F8"/>
    <w:rsid w:val="007069E1"/>
    <w:rsid w:val="00706F36"/>
    <w:rsid w:val="00714B23"/>
    <w:rsid w:val="00714B8A"/>
    <w:rsid w:val="00715A1D"/>
    <w:rsid w:val="00737AC9"/>
    <w:rsid w:val="0074608E"/>
    <w:rsid w:val="0075318B"/>
    <w:rsid w:val="00753DF8"/>
    <w:rsid w:val="00756A23"/>
    <w:rsid w:val="007570FA"/>
    <w:rsid w:val="00761092"/>
    <w:rsid w:val="0076458F"/>
    <w:rsid w:val="00784E37"/>
    <w:rsid w:val="00796228"/>
    <w:rsid w:val="007A1C98"/>
    <w:rsid w:val="007A56DF"/>
    <w:rsid w:val="007A787E"/>
    <w:rsid w:val="007B1CB6"/>
    <w:rsid w:val="007C515D"/>
    <w:rsid w:val="007D0CDF"/>
    <w:rsid w:val="007D4440"/>
    <w:rsid w:val="007E3686"/>
    <w:rsid w:val="007F11FE"/>
    <w:rsid w:val="00801425"/>
    <w:rsid w:val="00810C3F"/>
    <w:rsid w:val="0081533E"/>
    <w:rsid w:val="008178A7"/>
    <w:rsid w:val="00826849"/>
    <w:rsid w:val="00835A0D"/>
    <w:rsid w:val="008466AB"/>
    <w:rsid w:val="00847A69"/>
    <w:rsid w:val="00850514"/>
    <w:rsid w:val="008534BD"/>
    <w:rsid w:val="00853968"/>
    <w:rsid w:val="00855FFD"/>
    <w:rsid w:val="0086720B"/>
    <w:rsid w:val="00870D5F"/>
    <w:rsid w:val="008762D9"/>
    <w:rsid w:val="008801CA"/>
    <w:rsid w:val="0088570B"/>
    <w:rsid w:val="0088719B"/>
    <w:rsid w:val="008B0B19"/>
    <w:rsid w:val="008C7499"/>
    <w:rsid w:val="008D2B3A"/>
    <w:rsid w:val="008E0894"/>
    <w:rsid w:val="008E117D"/>
    <w:rsid w:val="008E50DE"/>
    <w:rsid w:val="008E60F1"/>
    <w:rsid w:val="008F2A9F"/>
    <w:rsid w:val="008F60CC"/>
    <w:rsid w:val="008F7418"/>
    <w:rsid w:val="0090409B"/>
    <w:rsid w:val="009116A2"/>
    <w:rsid w:val="00923CFE"/>
    <w:rsid w:val="00977066"/>
    <w:rsid w:val="00980014"/>
    <w:rsid w:val="009A3BD4"/>
    <w:rsid w:val="009C3461"/>
    <w:rsid w:val="009C6D95"/>
    <w:rsid w:val="009C79F1"/>
    <w:rsid w:val="009D16C9"/>
    <w:rsid w:val="009D7A73"/>
    <w:rsid w:val="009D7E42"/>
    <w:rsid w:val="009E3FB2"/>
    <w:rsid w:val="009F0672"/>
    <w:rsid w:val="009F7D12"/>
    <w:rsid w:val="00A00856"/>
    <w:rsid w:val="00A2306D"/>
    <w:rsid w:val="00A23374"/>
    <w:rsid w:val="00A24FF6"/>
    <w:rsid w:val="00A25674"/>
    <w:rsid w:val="00A25A66"/>
    <w:rsid w:val="00A40502"/>
    <w:rsid w:val="00A45305"/>
    <w:rsid w:val="00A50AEC"/>
    <w:rsid w:val="00A559E1"/>
    <w:rsid w:val="00A61093"/>
    <w:rsid w:val="00A65882"/>
    <w:rsid w:val="00A65F67"/>
    <w:rsid w:val="00A67B5E"/>
    <w:rsid w:val="00A70327"/>
    <w:rsid w:val="00A867AE"/>
    <w:rsid w:val="00A876D8"/>
    <w:rsid w:val="00AA1DD2"/>
    <w:rsid w:val="00AC0188"/>
    <w:rsid w:val="00AC5E18"/>
    <w:rsid w:val="00AC6C7C"/>
    <w:rsid w:val="00AD2833"/>
    <w:rsid w:val="00AF282A"/>
    <w:rsid w:val="00AF4C70"/>
    <w:rsid w:val="00B00030"/>
    <w:rsid w:val="00B04309"/>
    <w:rsid w:val="00B04603"/>
    <w:rsid w:val="00B11B40"/>
    <w:rsid w:val="00B26E5A"/>
    <w:rsid w:val="00B27109"/>
    <w:rsid w:val="00B44D18"/>
    <w:rsid w:val="00B47A8B"/>
    <w:rsid w:val="00B573CF"/>
    <w:rsid w:val="00B63B9C"/>
    <w:rsid w:val="00B65265"/>
    <w:rsid w:val="00B71710"/>
    <w:rsid w:val="00B765E6"/>
    <w:rsid w:val="00B77319"/>
    <w:rsid w:val="00B81921"/>
    <w:rsid w:val="00BA0969"/>
    <w:rsid w:val="00BA1AAB"/>
    <w:rsid w:val="00BA2684"/>
    <w:rsid w:val="00BA2891"/>
    <w:rsid w:val="00BB1780"/>
    <w:rsid w:val="00BB1DD1"/>
    <w:rsid w:val="00BB7CC5"/>
    <w:rsid w:val="00BC0557"/>
    <w:rsid w:val="00BC3632"/>
    <w:rsid w:val="00BE0A7F"/>
    <w:rsid w:val="00BE1BFA"/>
    <w:rsid w:val="00BE4F07"/>
    <w:rsid w:val="00BF2238"/>
    <w:rsid w:val="00BF45BC"/>
    <w:rsid w:val="00C03599"/>
    <w:rsid w:val="00C038A4"/>
    <w:rsid w:val="00C144BA"/>
    <w:rsid w:val="00C144FC"/>
    <w:rsid w:val="00C270B1"/>
    <w:rsid w:val="00C352D1"/>
    <w:rsid w:val="00C426A0"/>
    <w:rsid w:val="00C450DC"/>
    <w:rsid w:val="00C50B1E"/>
    <w:rsid w:val="00C52858"/>
    <w:rsid w:val="00C5327F"/>
    <w:rsid w:val="00C62CD0"/>
    <w:rsid w:val="00C64173"/>
    <w:rsid w:val="00C65125"/>
    <w:rsid w:val="00C749D3"/>
    <w:rsid w:val="00C75F3A"/>
    <w:rsid w:val="00C86E21"/>
    <w:rsid w:val="00C90A3D"/>
    <w:rsid w:val="00CA159B"/>
    <w:rsid w:val="00CA3961"/>
    <w:rsid w:val="00CB6C37"/>
    <w:rsid w:val="00CC27F0"/>
    <w:rsid w:val="00CD1C22"/>
    <w:rsid w:val="00CD61C5"/>
    <w:rsid w:val="00CF02F1"/>
    <w:rsid w:val="00CF1101"/>
    <w:rsid w:val="00CF17CF"/>
    <w:rsid w:val="00CF6E6F"/>
    <w:rsid w:val="00D0723D"/>
    <w:rsid w:val="00D11EF8"/>
    <w:rsid w:val="00D12DF2"/>
    <w:rsid w:val="00D27DF7"/>
    <w:rsid w:val="00D44A28"/>
    <w:rsid w:val="00D47742"/>
    <w:rsid w:val="00D52A3A"/>
    <w:rsid w:val="00D60DAF"/>
    <w:rsid w:val="00D67D29"/>
    <w:rsid w:val="00D715A7"/>
    <w:rsid w:val="00D751B7"/>
    <w:rsid w:val="00D877DA"/>
    <w:rsid w:val="00D9102B"/>
    <w:rsid w:val="00DA62E7"/>
    <w:rsid w:val="00DC1F83"/>
    <w:rsid w:val="00DD3281"/>
    <w:rsid w:val="00DD3EC9"/>
    <w:rsid w:val="00DE6F29"/>
    <w:rsid w:val="00E01E29"/>
    <w:rsid w:val="00E02C13"/>
    <w:rsid w:val="00E03D9C"/>
    <w:rsid w:val="00E13651"/>
    <w:rsid w:val="00E22320"/>
    <w:rsid w:val="00E23402"/>
    <w:rsid w:val="00E31A80"/>
    <w:rsid w:val="00E348E1"/>
    <w:rsid w:val="00E36524"/>
    <w:rsid w:val="00E50B49"/>
    <w:rsid w:val="00E54084"/>
    <w:rsid w:val="00E6365B"/>
    <w:rsid w:val="00E67003"/>
    <w:rsid w:val="00E774CB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43AB1"/>
    <w:rsid w:val="00F45172"/>
    <w:rsid w:val="00F51562"/>
    <w:rsid w:val="00F5580C"/>
    <w:rsid w:val="00F66000"/>
    <w:rsid w:val="00F712CC"/>
    <w:rsid w:val="00F71CBF"/>
    <w:rsid w:val="00F848C2"/>
    <w:rsid w:val="00F86FBF"/>
    <w:rsid w:val="00FA4042"/>
    <w:rsid w:val="00FB2DB2"/>
    <w:rsid w:val="00FB6D7B"/>
    <w:rsid w:val="00FC3C95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  <w:style w:type="paragraph" w:customStyle="1" w:styleId="maintext">
    <w:name w:val="main text"/>
    <w:basedOn w:val="Normal"/>
    <w:link w:val="maintextChar"/>
    <w:qFormat/>
    <w:rsid w:val="00392997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392997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TAL">
    <w:name w:val="TAL"/>
    <w:basedOn w:val="Normal"/>
    <w:link w:val="TALCar"/>
    <w:qFormat/>
    <w:rsid w:val="00392997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locked/>
    <w:rsid w:val="00392997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DDE7-5148-4100-92BE-7A13390C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NR feature list for 5G_V2X_NRSL</vt:lpstr>
    </vt:vector>
  </TitlesOfParts>
  <Company>Guangdong OPPO Mobile Telecom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remaining issues of NR feature list for 5G_V2X_NRSL</dc:title>
  <dc:subject>NR-V2X</dc:subject>
  <dc:creator>Kevin.Lin@oppo.com</dc:creator>
  <cp:keywords>RAN1#102-e</cp:keywords>
  <dc:description>Final version for submission</dc:description>
  <cp:lastModifiedBy>Kevin Lin</cp:lastModifiedBy>
  <cp:revision>9</cp:revision>
  <cp:lastPrinted>2020-02-09T00:52:00Z</cp:lastPrinted>
  <dcterms:created xsi:type="dcterms:W3CDTF">2020-07-30T13:22:00Z</dcterms:created>
  <dcterms:modified xsi:type="dcterms:W3CDTF">2020-08-07T07:17:00Z</dcterms:modified>
  <cp:category>Coexistence</cp:category>
</cp:coreProperties>
</file>